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3E4" w:rsidRPr="00441BE4" w:rsidRDefault="00441BE4" w:rsidP="00441BE4">
      <w:pPr>
        <w:spacing w:after="0" w:line="240" w:lineRule="auto"/>
        <w:ind w:firstLine="709"/>
        <w:jc w:val="both"/>
        <w:rPr>
          <w:rFonts w:ascii="Times New Roman" w:hAnsi="Times New Roman" w:cs="Times New Roman"/>
          <w:b/>
          <w:sz w:val="28"/>
          <w:szCs w:val="28"/>
        </w:rPr>
      </w:pPr>
      <w:r w:rsidRPr="00441BE4">
        <w:rPr>
          <w:rFonts w:ascii="Times New Roman" w:hAnsi="Times New Roman" w:cs="Times New Roman"/>
          <w:b/>
          <w:sz w:val="28"/>
          <w:szCs w:val="28"/>
        </w:rPr>
        <w:t>Гидроэнергетика.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Водные ресурсы.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Вода является одним из наиболее распространенных и наиболее подвижных тел Природы. Она участвует во всех физических, химических и биологических процессах, совершающихся на Земле. Вода – самый главный элемент живой природы - «есть вода – есть жизнь». </w:t>
      </w:r>
      <w:proofErr w:type="gramStart"/>
      <w:r w:rsidRPr="00441BE4">
        <w:rPr>
          <w:sz w:val="28"/>
          <w:szCs w:val="28"/>
        </w:rPr>
        <w:t>Вода это</w:t>
      </w:r>
      <w:proofErr w:type="gramEnd"/>
      <w:r w:rsidRPr="00441BE4">
        <w:rPr>
          <w:sz w:val="28"/>
          <w:szCs w:val="28"/>
        </w:rPr>
        <w:t xml:space="preserve"> вещество, которое ничем другим заменить нельзя и если сейчас воюют за энергию, то в связи с дефицитом пресной воды в скором будущем будут воевать за водные ресурсы, за чистую воду.</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Водными ресурсами называются поверхностные и подземные воды, используемые </w:t>
      </w:r>
      <w:proofErr w:type="gramStart"/>
      <w:r w:rsidRPr="00441BE4">
        <w:rPr>
          <w:sz w:val="28"/>
          <w:szCs w:val="28"/>
        </w:rPr>
        <w:t>или</w:t>
      </w:r>
      <w:proofErr w:type="gramEnd"/>
      <w:r w:rsidRPr="00441BE4">
        <w:rPr>
          <w:sz w:val="28"/>
          <w:szCs w:val="28"/>
        </w:rPr>
        <w:t xml:space="preserve"> которые могут быть использованы для различных целей жизнеобеспечения общества.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Внутриматериковые воды (реки и озера) с давних пор использовались главным образом для целей водного транспорта и орошения и только сравнительно недавно стали применяться для различных технологических нужд, например, как промежуточный энергоноситель в тепловых и атомных станциях, и использоваться как ценный источник энергии. В последние годы в связи с ростом населения Земли пресные воды приобретают все большее значение во многих сферах промышленности, сельского хозяйства и, разумеется, быта, пресную воду заменить нечем.</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В связи с постоянным перемещением воды в природе, ее круговоротом, водные ресурсы являются возобновляемыми, и количество воды в гидросфере не уменьшается, а по некоторым данным увеличивается, в связи с образованием большого количества воды при сжигании углеводородного топлива.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Структурные схемы гидроэлектростанций.</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Для превращения речного стока в гидроэнергетические ресурсы и электроэнергию необходимо несколько компонентов:</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водохранилище, образующееся при перегораживании русла реки плотиной, создающей напор воды перед турбиной;</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деривация – каналы и трубопроводы, подающие воду в турбины;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турбины, преобразующие поступательное движение воды во вращательное движение ротора;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электрогенераторы.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Водохранилище отличается от естественного водоема – озера - тем, что оно сооружается на реке специально для регулирования речного стока и имеет переменный уровень, зависящий от величины поступления воды и расхода ее через турбины ГЭС.</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Состав и компоновка основных сооружений.</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Существуют две основные схемы создания напора: плотинная и деривационная. Гидроэлектростанции, сооруженные по плотинной схеме, делятся в свою очередь на два типа: русловые и </w:t>
      </w:r>
      <w:proofErr w:type="spellStart"/>
      <w:r w:rsidRPr="00441BE4">
        <w:rPr>
          <w:sz w:val="28"/>
          <w:szCs w:val="28"/>
        </w:rPr>
        <w:t>приплотинные</w:t>
      </w:r>
      <w:proofErr w:type="spellEnd"/>
      <w:r w:rsidRPr="00441BE4">
        <w:rPr>
          <w:sz w:val="28"/>
          <w:szCs w:val="28"/>
        </w:rPr>
        <w:t>.</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Деривационные ГЭС также делятся на два типа: с безнапорной и с напорной деривацией.</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lastRenderedPageBreak/>
        <w:t>Основными сооружениями ГЭС, выполненными по плотинной схеме, являются плотины и здание ГЭС. При напоре до 25-30 м здание станции размещается в одном комплексе с плотиной и воспринимает напор воды. Такие гидроэлектростанции называются русловыми.</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Плотины являются основными сооружениями гидроузла для создания напора и регулирования стока.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Плотины делятся на две группы по используемым материалам для   их   возведения: плотины бетонные (железобетонные) и плотины из грунтовых материалов (земляные и каменно-набросные).</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Плотины могут быть глухими, т. е. не допускающими перелива воды через гребень, и водосливными. Последние выполняются с поверхностными водосливами или заглубленными (донными) отверстиями для пропуска воды.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Сооружения деривационных ГЭС располагаются на двух уровнях – верхнем – головной </w:t>
      </w:r>
      <w:proofErr w:type="spellStart"/>
      <w:r w:rsidRPr="00441BE4">
        <w:rPr>
          <w:sz w:val="28"/>
          <w:szCs w:val="28"/>
        </w:rPr>
        <w:t>водозабр</w:t>
      </w:r>
      <w:proofErr w:type="spellEnd"/>
      <w:r w:rsidRPr="00441BE4">
        <w:rPr>
          <w:sz w:val="28"/>
          <w:szCs w:val="28"/>
        </w:rPr>
        <w:t xml:space="preserve"> и нижнем - станционном, соединенных между собой трубопроводом.</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Безнапорная деривация выполняется в виде открытого канала. У станционного узла канал заканчивается, переходит в напорный бассейн, откуда вода по турбинным трубопроводам поступает к турбинам, расположенным в здании ГЭС, и далее в отводящий канал и в русло реки.</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Гидравлические турбины.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Класс реактивных гидротурбин объединяет следующие системы: осевые (пропеллерные и поворотно-лопастные), диагональные и радиально-осевые гидротурбины.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В классе активных гидротурбин наибольшее распространение получили, так называемые, ковшовые гидротурбины.</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Каждая система содержит несколько типов, имеющих геометрически подобные проточные части и одинаковую быстроходность (частота вращения турбины, работающей под напором 1 м и развивающей мощность в 1 л. с), но различающихся по размерам. Геометрически подобные гидротурбины различных размеров образуют серию.</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Кроме того, все гидротурбины условно делят на низко-, средне- и высоконапорные.</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Гидротурбины условно подразделяют на малые, средние и крупные.</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 малым относятся гидротурбины, у которых мощность составляет не более 1000 кВт.</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 средним относятся гидротурбины мощностью от 1000 кВт до 15000 кВт.</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 крупным относятся гидротурбины, которые имеют мощность большую, чем средние.</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Активные гидротурбины. Наиболее распространенными активными гидротурбинами являются ковшовые. Подвод воды к рабочему колесу осуществляется через сопло 3, внутри которого расположена регулирующая игла. Сопло представляет собой сходящийся насадок, из отверстия которого при работе турбины выбрасывается струя воды, вся энергия которой, за </w:t>
      </w:r>
      <w:r w:rsidRPr="00441BE4">
        <w:rPr>
          <w:sz w:val="28"/>
          <w:szCs w:val="28"/>
        </w:rPr>
        <w:lastRenderedPageBreak/>
        <w:t>вычетом потерь, обращается в кинетическую энергию вращения колеса турбины. Рабочее колесо и сопло размещаются внутри замкнутого кожуха.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Игла может перемещаться в насадке в продольном направлении, менять его выходное сечение и тем самым регулировать расход воды через турбину.</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В одном из крайних положений игла полностью закрывает сопло, что ведет к остановке турбины. Вода, отдав свою энергию рабочему колесу, стекает с него в отводящий канал (нижний бьеф).</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При внезапном отключении гидроагрегата от электрической сети и при быстрой остановке турбины в подводящем трубопроводе может возникнуть очень опасный для трубопровода гидравлический удар. В целях предотвращения гидравлического удара, игла закрывается медленно. А для предотвращения разгона турбины до опасных оборотов и быстрой остановки применяется отвод струи от рабочего колеса в нижний бьеф с помощью </w:t>
      </w:r>
      <w:proofErr w:type="spellStart"/>
      <w:r w:rsidRPr="00441BE4">
        <w:rPr>
          <w:sz w:val="28"/>
          <w:szCs w:val="28"/>
        </w:rPr>
        <w:t>отклонителя</w:t>
      </w:r>
      <w:proofErr w:type="spellEnd"/>
      <w:r w:rsidRPr="00441BE4">
        <w:rPr>
          <w:sz w:val="28"/>
          <w:szCs w:val="28"/>
        </w:rPr>
        <w:t xml:space="preserve">. При экстренном выводе турбины из работы ввод </w:t>
      </w:r>
      <w:proofErr w:type="spellStart"/>
      <w:r w:rsidRPr="00441BE4">
        <w:rPr>
          <w:sz w:val="28"/>
          <w:szCs w:val="28"/>
        </w:rPr>
        <w:t>отклонителя</w:t>
      </w:r>
      <w:proofErr w:type="spellEnd"/>
      <w:r w:rsidRPr="00441BE4">
        <w:rPr>
          <w:sz w:val="28"/>
          <w:szCs w:val="28"/>
        </w:rPr>
        <w:t xml:space="preserve"> струи и перемещение иглы производится одновременно.</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Конструктивные формы ковшовых турбин весьма разнообразны, </w:t>
      </w:r>
      <w:r w:rsidR="001F3129" w:rsidRPr="00441BE4">
        <w:rPr>
          <w:sz w:val="28"/>
          <w:szCs w:val="28"/>
        </w:rPr>
        <w:t>они могут</w:t>
      </w:r>
      <w:r w:rsidRPr="00441BE4">
        <w:rPr>
          <w:sz w:val="28"/>
          <w:szCs w:val="28"/>
        </w:rPr>
        <w:t xml:space="preserve"> различаться по расположению вала (вертикальные и   горизонтальные), по числу сопел и рабочих колес на одном валу.</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Ковшовые турбины используются в диапазоне напора 300 - 1770 м с диаметром рабочего колеса до 7,5 м. Известна турбина мощностью 300 МВт.</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Класс реактивные гидротурбины. К реактивным гидротурбинам относятся: </w:t>
      </w:r>
      <w:bookmarkStart w:id="0" w:name="_GoBack"/>
      <w:r w:rsidRPr="00441BE4">
        <w:rPr>
          <w:sz w:val="28"/>
          <w:szCs w:val="28"/>
        </w:rPr>
        <w:t>радиально-осевые, пропеллерные, поворотно-лопастные и диагональные</w:t>
      </w:r>
      <w:bookmarkEnd w:id="0"/>
      <w:r w:rsidRPr="00441BE4">
        <w:rPr>
          <w:sz w:val="28"/>
          <w:szCs w:val="28"/>
        </w:rPr>
        <w:t>. Для реактивных гидротурбин характерны следующие основные признаки. Рабочее колесо располагается полностью в воде, поэтому поток передает энергию одновременно всем лопастям рабочего колеса. Перед рабочим колесом только часть энергии воды находится в кинетической форме, остальная представлена потенциальной энергией, соответствующей разности давлений до и после колеса.</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Мощность, отдаваемая рабочим колесом такой гидротурбины и его КПД, при заданном напоре зависят как от открытия лопаток направляющего аппарата, так и от угла поворота </w:t>
      </w:r>
      <w:r w:rsidRPr="00441BE4">
        <w:rPr>
          <w:i/>
          <w:iCs/>
          <w:sz w:val="28"/>
          <w:szCs w:val="28"/>
        </w:rPr>
        <w:t>j</w:t>
      </w:r>
      <w:r w:rsidRPr="00441BE4">
        <w:rPr>
          <w:sz w:val="28"/>
          <w:szCs w:val="28"/>
        </w:rPr>
        <w:t xml:space="preserve"> лопастей по отношению к втулке. Изменяя угол установки лопастей при различных открытиях направляющего аппарата, </w:t>
      </w:r>
      <w:proofErr w:type="gramStart"/>
      <w:r w:rsidRPr="00441BE4">
        <w:rPr>
          <w:sz w:val="28"/>
          <w:szCs w:val="28"/>
        </w:rPr>
        <w:t>а следовательно</w:t>
      </w:r>
      <w:proofErr w:type="gramEnd"/>
      <w:r w:rsidRPr="00441BE4">
        <w:rPr>
          <w:sz w:val="28"/>
          <w:szCs w:val="28"/>
        </w:rPr>
        <w:t>, при различной мощности, можно найти такое положение лопастей, при котором КПД гидротурбины будет иметь наибольшее значение. Лопасти рабочего колеса при работе гидротурбины могут поворачиваться на некоторый (оптимальный) угол (отсюда название поворотно-лопастные) одновременно с изменением открытия направляющего аппарата. Такое двойное регулирование дает большие преимущества, так как обеспечивается автоматическое поддержание высокого значения КПД в широком диапазоне мощностей.</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Генераторы гидроэлектростанций.</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Для комплектации ГЭС используются </w:t>
      </w:r>
      <w:proofErr w:type="spellStart"/>
      <w:r w:rsidRPr="00441BE4">
        <w:rPr>
          <w:sz w:val="28"/>
          <w:szCs w:val="28"/>
        </w:rPr>
        <w:t>явнополюсные</w:t>
      </w:r>
      <w:proofErr w:type="spellEnd"/>
      <w:r w:rsidRPr="00441BE4">
        <w:rPr>
          <w:sz w:val="28"/>
          <w:szCs w:val="28"/>
        </w:rPr>
        <w:t xml:space="preserve"> синхронные генераторы с частотой вращения ротора в пределах от 20 до 1000 об/мин. Такой широкий диапазон частот вращения связан с большим разнообразием </w:t>
      </w:r>
      <w:r w:rsidRPr="00441BE4">
        <w:rPr>
          <w:sz w:val="28"/>
          <w:szCs w:val="28"/>
        </w:rPr>
        <w:lastRenderedPageBreak/>
        <w:t>расходов и напоров воды, используемых на гидростанциях. Как правило, генераторы ГЭС выполняются в ограниченном количестве экземпляров по индивидуальным проектам.</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Потенциал гидроэнергетики Республики Казахстан образуется учетом перспективных для строительства и восстановления крупных, средних, малых и мини гидроэлектростанций на реках и гидросооружениях. Так, в </w:t>
      </w:r>
      <w:proofErr w:type="spellStart"/>
      <w:r w:rsidRPr="00441BE4">
        <w:rPr>
          <w:sz w:val="28"/>
          <w:szCs w:val="28"/>
        </w:rPr>
        <w:t>Алматинской</w:t>
      </w:r>
      <w:proofErr w:type="spellEnd"/>
      <w:r w:rsidRPr="00441BE4">
        <w:rPr>
          <w:sz w:val="28"/>
          <w:szCs w:val="28"/>
        </w:rPr>
        <w:t xml:space="preserve"> области имеется возможность строительства 9 ГЭС мощностью более 50 МВт - с суммарной мощностью 1325.4 МВт, 34 ГЭС мощностью от 10 до 50 МВт суммарной мощностью 820.4 МВт. Итого: по 17 ГЭС мощностью от 1 до 10 МВт – 97,8 МВт, Суммарная мощность 9 мини ГЭС мощностью до 1 МВт на разных реках составляет 7,2 МВт.</w:t>
      </w:r>
    </w:p>
    <w:p w:rsidR="00441BE4" w:rsidRPr="00441BE4" w:rsidRDefault="00441BE4" w:rsidP="00441BE4">
      <w:pPr>
        <w:pStyle w:val="a3"/>
        <w:spacing w:before="0" w:beforeAutospacing="0" w:after="0" w:afterAutospacing="0"/>
        <w:ind w:right="150" w:firstLine="709"/>
        <w:jc w:val="both"/>
        <w:rPr>
          <w:sz w:val="28"/>
          <w:szCs w:val="28"/>
        </w:rPr>
      </w:pPr>
      <w:r w:rsidRPr="00441BE4">
        <w:rPr>
          <w:sz w:val="28"/>
          <w:szCs w:val="28"/>
        </w:rPr>
        <w:t xml:space="preserve">Большой экономический эффект возникает при создании местных энергетических систем, использующих три вида возобновляемых энергетических ресурсов – воды, ветра и солнца. Это определяется тем, что летом солнечная энергия больше, чем зимой, реки несут больше воды, весенние паводковые воды могут накапливаться в водохранилище и срабатываться по мере необходимости. Ветровая активность более высокая в зимнее время, и тогда потребность в электроэнергии может удовлетворяться за счет </w:t>
      </w:r>
      <w:proofErr w:type="spellStart"/>
      <w:r w:rsidRPr="00441BE4">
        <w:rPr>
          <w:sz w:val="28"/>
          <w:szCs w:val="28"/>
        </w:rPr>
        <w:t>ветроэлектростанций</w:t>
      </w:r>
      <w:proofErr w:type="spellEnd"/>
      <w:r w:rsidRPr="00441BE4">
        <w:rPr>
          <w:sz w:val="28"/>
          <w:szCs w:val="28"/>
        </w:rPr>
        <w:t xml:space="preserve">. Примером такого удачного сочетания являются ветер, Солнце </w:t>
      </w:r>
      <w:proofErr w:type="spellStart"/>
      <w:r w:rsidRPr="00441BE4">
        <w:rPr>
          <w:sz w:val="28"/>
          <w:szCs w:val="28"/>
        </w:rPr>
        <w:t>Джунгарских</w:t>
      </w:r>
      <w:proofErr w:type="spellEnd"/>
      <w:r w:rsidRPr="00441BE4">
        <w:rPr>
          <w:sz w:val="28"/>
          <w:szCs w:val="28"/>
        </w:rPr>
        <w:t xml:space="preserve"> ворот и водные ресурсы втекающей в </w:t>
      </w:r>
      <w:proofErr w:type="spellStart"/>
      <w:r w:rsidRPr="00441BE4">
        <w:rPr>
          <w:sz w:val="28"/>
          <w:szCs w:val="28"/>
        </w:rPr>
        <w:t>Джунгарские</w:t>
      </w:r>
      <w:proofErr w:type="spellEnd"/>
      <w:r w:rsidRPr="00441BE4">
        <w:rPr>
          <w:sz w:val="28"/>
          <w:szCs w:val="28"/>
        </w:rPr>
        <w:t xml:space="preserve"> ворота горной реки </w:t>
      </w:r>
      <w:proofErr w:type="spellStart"/>
      <w:r w:rsidRPr="00441BE4">
        <w:rPr>
          <w:sz w:val="28"/>
          <w:szCs w:val="28"/>
        </w:rPr>
        <w:t>Ыргайты</w:t>
      </w:r>
      <w:proofErr w:type="spellEnd"/>
      <w:r w:rsidRPr="00441BE4">
        <w:rPr>
          <w:sz w:val="28"/>
          <w:szCs w:val="28"/>
        </w:rPr>
        <w:t>.</w:t>
      </w:r>
    </w:p>
    <w:p w:rsidR="00441BE4" w:rsidRPr="00441BE4" w:rsidRDefault="00441BE4" w:rsidP="00441BE4">
      <w:pPr>
        <w:spacing w:after="0" w:line="240" w:lineRule="auto"/>
        <w:ind w:firstLine="709"/>
        <w:jc w:val="both"/>
        <w:rPr>
          <w:rFonts w:ascii="Times New Roman" w:hAnsi="Times New Roman" w:cs="Times New Roman"/>
          <w:sz w:val="28"/>
          <w:szCs w:val="28"/>
        </w:rPr>
      </w:pPr>
    </w:p>
    <w:sectPr w:rsidR="00441BE4" w:rsidRPr="00441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A7"/>
    <w:rsid w:val="001F3129"/>
    <w:rsid w:val="003E18FB"/>
    <w:rsid w:val="00441BE4"/>
    <w:rsid w:val="00F523E4"/>
    <w:rsid w:val="00F73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A97A7-A743-4B2C-9C9D-99B35F27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1B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1344</Words>
  <Characters>7662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2022-09-18T04:01:00Z</dcterms:created>
  <dcterms:modified xsi:type="dcterms:W3CDTF">2022-09-18T08:22:00Z</dcterms:modified>
</cp:coreProperties>
</file>